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19 vom 27. März 2019</w:t>
      </w:r>
    </w:p>
    <w:p>
      <w:r>
        <w:t>GR Gerichte, 2019-03-27, IT</w:t>
      </w:r>
    </w:p>
    <w:p>
      <w:r>
        <w:rPr>
          <w:b/>
        </w:rPr>
        <w:t xml:space="preserve">Quelle: </w:t>
      </w:r>
      <w:r>
        <w:t>https://mcp.opencaselaw.ch/entscheid/gr_gerichte_SK2 2017 19</w:t>
      </w:r>
    </w:p>
    <w:p>
      <w:r>
        <w:t>FR: GR_GERICHTE SK2 2017 19 du 27 mars 2019</w:t>
      </w:r>
    </w:p>
    <w:p>
      <w:r>
        <w:t>IT: GR_GERICHTE SK2 2017 19 del 27 marzo 2019</w:t>
      </w:r>
    </w:p>
    <w:p>
      <w:pPr>
        <w:pStyle w:val="Heading2"/>
      </w:pPr>
      <w:r>
        <w:t>Regeste</w:t>
      </w:r>
    </w:p>
    <w:p>
      <w:r>
        <w:t>infrazione alle norme della circolazione ai sensi dell'art. 90 cpv. 1 LCStr (indennità) | Beschwerde gegen StA, Einstellungsverfügung</w:t>
      </w:r>
    </w:p>
    <w:p>
      <w:pPr>
        <w:pStyle w:val="Heading2"/>
      </w:pPr>
      <w:r>
        <w:t>Erwägungen</w:t>
      </w:r>
    </w:p>
    <w:p>
      <w:r>
        <w:rPr>
          <w:b/>
        </w:rPr>
        <w:t>E. 12</w:t>
      </w:r>
    </w:p>
    <w:p>
      <w:r>
        <w:t>/ 15 legale. Inoltre, al contrario del caso di giurisprudenza citato, non si trattava neanche di un mero sorpasso senza collisione e feriti. Bisogna riconoscere, pur a titolo di abbondanza, che il presente caso vede confrontati come protagonisti di un incidente un'automobilista e un ciclista che ha riportato ferite mediamente gravi – costellazione già di per sé percepita comunemente come svantaggiosa di partenza per chi ha condotto l'automobile poiché l'automobilista è considerato 'il più forte'. Ciò deve valere a maggior ragione se il conducente della vettura si è immesso in una strada principale provenendo da una strada laterale senza precedenza. Considerando tutti questi elementi congiuntamente, la reclamante ha ragionevolmente potuto ritenere di trovarsi in una situazione di poca speranza quando ha consultato il suo difensore. 2.3.6. Poco importa, poi, che la Procura pubblica sostiene che avrebbe abbandonato comunque il procedimento. È vero che essa ha dimostrato una valutazione più differenziata dei fatti rispetto alla Polizia cantonale e, in fin dei conti, ha ritenuto opportuno abbandonare il procedimento, ma non da subito. Infatti è stato solo con l'intervento del difensore di X._____ che si è potuto risalire a un testimone che si è rivelato decisivo, almeno dal punto di vista della reclamante allora imputata. Lo comprova l'annotazione agli atti concernente il colloquio telefonico con l'agente competente (act. PP.27), dal quale risulta che la Polizia cantonale ribadiva ancora in data 9 febbraio 2017 che non sarebbe stato possibile trovare nessuno che abbia visto l'incidente, il che avrebbe significato rifarsi alle conclusioni della Polizia cantonale e giungere perciò piuttosto a una condanna. Nella misura in cui il difensore sostiene che da sola la reclamante non sarebbe stata in grado di far valere le sue ragioni, il suo ragionamento può essere condiviso. Parimenti, contrariamente all'opinione della Procura pubblica, nella fattispecie concreta si è dimostrato utile adottare una strategia di difesa particolare, ossia quella di fare immediata chiarezza sui fatti ancor prima che venisse emanato un eventuale decreto di abbandono. L'aver fatto valere a tempo i suoi diritti adottando una strategia processuale preventiva è quindi stato pagante, oltre a risparmiare ulteriori costi a tutti. Infine, il fatto che la Procura pubblica abbia valutato diversamente la fattispecie, tenendo conto di più elementi a favore della reclamante come ad esempio della circostanza che l'incidente dev'essersi effettuato circa 16 m dopo l'incrocio, da solo non permette di ritenere sproporzionato l'incarico di un difensore. 2.3.7. Riassumendo, in lume di tutto quanto enunciato, a mente di questa Corte nel caso specifico e sotto quelle precise circostanze si ritiene che sia stato opportuno farsi assistere professionalmente da un avvocato per difendersi</w:t>
      </w:r>
    </w:p>
    <w:p>
      <w:r>
        <w:rPr>
          <w:b/>
        </w:rPr>
        <w:t>E. 13</w:t>
      </w:r>
    </w:p>
    <w:p>
      <w:r>
        <w:t>/ 15 adeguatamente, nonostante ci si trovi difronte a un caso tendenzialmente bagatellare, relativamente semplice dal punto di vista giuridico e – visto in retrospettiva – non particolarmente complesso nemmeno per quanto attiene ai fatti. 2.4. Se è stato adeguato incaricare un difensore, occorre ancora statuire quale importo possa essere aggiudicato a titolo d'indennità. Nel suo reclamo X._____ fa valere complessivi CHF 1'075.70 per 3 ore da CHF 270.00 cadauna oltre a spese (CHF 186.00) e all'8% di IVA, riprendendo quanto scritto alla Procura pubblica il 20 marzo 2017 (act. PP.32) con la nota d'onorario allegata (act. PP.33). Nell'onorario preteso è compresa fra l'altro la partecipazione all'interrogatorio con il teste. Ciò è senz'altro corretto (sentenze del Tribunale federale 6B_498/2016 del</w:t>
      </w:r>
    </w:p>
    <w:p>
      <w:r>
        <w:rPr>
          <w:b/>
        </w:rPr>
        <w:t>E. 14</w:t>
      </w:r>
    </w:p>
    <w:p>
      <w:r>
        <w:t>/ 15 Esse vanno ugualmente a carico del Cantone dei Grigioni (art. 436 cpv. 1 CPP in unione con l'art. 429 cpv. 1 lett. a CPP). Poiché non è stata presentata una nota d'onorario per la procedura di reclamo, l'indennità va fissata secondo il prudente e libero apprezzamento del giudice. Nel caso concreto, tenuto conto dell'accoglimento integrale del reclamo e delle attività svolte dal difensore della reclamante, un importo di CHF 1'000.00 (IVA e spese incluse) appare adeguato.</w:t>
      </w:r>
    </w:p>
    <w:p>
      <w:r>
        <w:rPr>
          <w:b/>
        </w:rPr>
        <w:t>E. 15</w:t>
      </w:r>
    </w:p>
    <w:p>
      <w:r>
        <w:t>/ 15 III. Per questi motivi si decreta: 1. Il reclamo è accolto e il dispositivo n. 3 del decreto di abbandono della Procura pubblica del 28 aprile 2017 è annullato. 2. A X._____ è corrisposta un'indennità ai sensi dell'art. 429 cpv. 1 lett. a CPP di CHF 1'075.70 (IVA e spese incluse) per la procedura preliminare. L'indennità va a carico del Cantone dei Grigioni ed è versata dalla cassa della Procura pubblica. 3. Le spese della procedura di reclamo di CHF 1'500.00 vanno a carico del Cantone dei Grigioni e sono versate dalla cassa del Tribunale cantonale. 4. A X._____ è corrisposta un'indennità ai sensi dell'art. 429 cpv. 1 lett. a CPP di CHF 1'000.00 (IVA e spese incluse) per la procedura di reclamo. L'indennità va a carico del Cantone dei Grigioni ed è versata dalla cassa del Tribunale cantonale. 5.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